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1134"/>
        <w:gridCol w:w="559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73240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73240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3240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Մայիսի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455A1F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455A1F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732406" w:rsidRPr="00732406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406" w:rsidRDefault="00732406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45460000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2406" w:rsidRDefault="00732406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Ամասիայի համայնքի կարիքների համար վարչական տարածքների ընթացիք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2406" w:rsidRDefault="00732406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406" w:rsidRDefault="00732406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406" w:rsidRDefault="00732406" w:rsidP="00732406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406" w:rsidRDefault="00732406" w:rsidP="00732406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406" w:rsidRDefault="0073240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bookmarkStart w:id="0" w:name="_GoBack"/>
            <w:bookmarkEnd w:id="0"/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455A1F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P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222505067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 տեխնիկական հասկողություն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4   453691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55A1F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2406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70C1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RMROv4iFObqeI86PUIHu88gGsvl1y+oqFwvNcxMIwSQ=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rNRJOpVNid2S4xViZ8p0DH2NwLLs9xyS4yfLzS8Cwz4=</DigestValue>
    </Reference>
    <Reference Type="http://www.w3.org/2000/09/xmldsig#Object" URI="#idValidSigLnImg">
      <DigestMethod Algorithm="http://www.w3.org/2001/04/xmlenc#sha256"/>
      <DigestValue>vUfj8FK1gn4e9sqkVNRycUkNacPRKJT9jVSUlx7R6V4=</DigestValue>
    </Reference>
    <Reference Type="http://www.w3.org/2000/09/xmldsig#Object" URI="#idInvalidSigLnImg">
      <DigestMethod Algorithm="http://www.w3.org/2001/04/xmlenc#sha256"/>
      <DigestValue>GlbpbAKSzQaw2JZi/poS+uTLmnzkltmg0po6yraOcWw=</DigestValue>
    </Reference>
  </SignedInfo>
  <SignatureValue>Uq0wL1IHqyYHJ9W41U0HgB3kHmEYA3Y5Y/2SY98Rk5q+vKT7mT4/jb0ljIYDXcbgmZ2HCgEaAMVk
ZqK+Hu4OwWRsI7h8Hd2skQrHlu5zASszN0iFXS9a5DsS6jxcbrHJy8U/autmJLig46Y7R+z8HZvj
t4/uyF5Us2pkwBr3S5iCDz1kDU16C5RPKJpwaGBagBag8A0tvFA/fAa8s21IU3coGW2Xkv6nakxO
f0bkIzgpx7ae03fFm4y1yUKbK2Mi+kpiHkA2dWNN+KP2MLisomF2/nsdWuq5TFK85IuVQa0urPt2
MsDgw+uGnlw+u254adorlWsDy3B82e7V30S28A==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Fh6ZrBhkJrKvjp07fhBilXtiT5TN6WF8oMo1AIE02RQ=</DigestValue>
      </Reference>
      <Reference URI="/word/fontTable.xml?ContentType=application/vnd.openxmlformats-officedocument.wordprocessingml.fontTable+xml">
        <DigestMethod Algorithm="http://www.w3.org/2001/04/xmlenc#sha256"/>
        <DigestValue>FNJFkdjM8aES8zLqza8JtxQXY29l/2VB8/c4RUkqZGQ=</DigestValue>
      </Reference>
      <Reference URI="/word/media/image1.emf?ContentType=image/x-emf">
        <DigestMethod Algorithm="http://www.w3.org/2001/04/xmlenc#sha256"/>
        <DigestValue>1ct6o660I+yCGDvcPIxhsMXuPYkSV+mWBDFc6wpb02A=</DigestValue>
      </Reference>
      <Reference URI="/word/settings.xml?ContentType=application/vnd.openxmlformats-officedocument.wordprocessingml.settings+xml">
        <DigestMethod Algorithm="http://www.w3.org/2001/04/xmlenc#sha256"/>
        <DigestValue>gOHMqGWeO9/wTPfaJ8B873IYz2qnuGe0ESJvhwIe6KY=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2026-05-08T06:05:45Z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2026-05-08T06:05:45Z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AMd7DqNwHSaQx3cEc+AQkAAADsaQx3AAIAAJBAPgEAAAAAcEc+AXBHPgGWFTFmAAAAAEzrNwFVBwAAAAAAAAAAAAAAAAAAAAAAAPDrPQEAAAAAAAAAAAAAAAAAAAAAAAAAAAAAAAAAAAAAAAAAAAAAAAAAAAAAAAAAAAAAAAAAAAAAAAAAAAAAAABeEQ93iKs2GwjsNwHY1Ah3cEc+ASxJBmYAAAAA6NUId///AAAAAAAAy9YId8vWCHc47DcBAAA3AQcAAAAAAAAAYfsVdQkAAAAHAAAAaOw3AWjsNwEAAgAA/P///wEAAAAAAAAAAAAAAAAAAAAAAAAA6MTs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IYCwEAABCRNwEYghl2KAYKLYSRNwFwkzcBJYIZdouhU4wokTcBAAAAAAAAAAAAyMBlPnqVZUhvSgGokDcBDJE3AT6Zu2X/////+JA3Ad+6l2XWIJxlE7uXZQwrlmUeK5ZlR6BTjADIwGWnoVOMIJE3AcC6l2UwzNwQAAAAAAAABRpIkTcB2JI3Acl/GXYokTcBBwAAANV/GXZg+sBl4P///wAAAAAAAAAAAAAAAJABAAAAAAABAAAAAGEAcgAAAAAAAAAAAGH7FXUAAAAABgAAAHySNwF8kjcB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DYkzcBndkZdhQOAACYkzcBcg4hinIOigAAAAAAoCLWEBQOx///////XBIAAArHCgBAKHIYAAAAAHIOiv//////XBIAACGKAQDAAkkZAAAAAKw99nRZchd2cg4hipwT3BABAAAA/////wAAAADwz9cbBJg3AQAAAADwz9cbAADmG2pyF3bAAkkZcg4higEAAACcE9wQ8M/XGwAAAAAAAAAAcg6KAASYNwFyDor//////1wSAAAhigEAwAJJGQAAAADSnht2cg4hihjjWxwKAAAA/////wAAAAAYAAAAAwEAAN0IAAAeAAABcg4higAAAAAAAAAAAQAAAOjE7HR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zEI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ACQAM7XZATD4BwCUxZr4MCgCEqTcBcKs3ASWCGXbgqDcBKKk3AQAAAAAJAAAA7GkMd1ipNwAARD4BAAAAAHBHPgFwRz4BUOvmZQAAAAB8qTcBAAA8AQAAAAAAAAAAAAAAAAAAAADw6z0BAAAAAAAAAAAAAAAAAAAAAAAAAAAAAAUaAAAAAAAA6XYQJQh3AAAAAAAAAAB8qjcBECUIdwAAAADsNgt3ik8Xdf////9MqTcBUKk3AQQAAACIqTcBAAAAAAAAAABh+xV1eKk3AQkAAAB8qjcBfKo3AQ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DHew6jcB0mkMd3BHPgEJAAAA7GkMdwACAACQQD4BAAAAAHBHPgFwRz4BlhUxZgAAAABM6zcBVQcAAAAAAAAAAAAAAAAAAAAAAADw6z0BAAAAAAAAAAAAAAAAAAAAAAAAAAAAAAAAAAAAAAAAAAAAAAAAAAAAAAAAAAAAAAAAAAAAAAAAAAAAAAAAXhEPd4irNhsI7DcB2NQId3BHPgEsSQZmAAAAAOjVCHf//wAAAAAAAMvWCHfL1gh3OOw3AQAANwEHAAAAAAAAAGH7FXUJAAAABwAAAGjsNwFo7DcBAAIAAPz///8BAAAAAAAAAAAAAAAAAAAAAAAAAOjE7H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yGAsBAAAQkTcBGIIZdigGCi2EkTcBcJM3ASWCGXaLoVOMKJE3AQAAAAAAAAAAAMjAZT56lWVIb0oBqJA3AQyRNwE+mbtl//////iQNwHfupdl1iCcZRO7l2UMK5ZlHiuWZUegU4wAyMBlp6FTjCCRNwHAupdlMMzcEAAAAAAAAAUaSJE3AdiSNwHJfxl2KJE3AQcAAADVfxl2YPrAZeD///8AAAAAAAAAAAAAAACQAQAAAAAAAQAAAABhAHIAAAAAAAAAAABh+xV1AAAAAAYAAAB8kjcBfJI3AQ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2JM3AZ3ZGXYUDgAAmJM3AS8MId0vDN0AAAAAAFASAcoUDsf//////1wSAAAKxwoAQChyGAAAAAAvDN3//////1wSAAAh3QEAwAJJGQAAAACsPfZ0WXIXdi8MId2cE9wQAQAAAP////8AAAAA8FPZGwSYNwEAAAAA8FPZGwAA5htqchd2wAJJGS8MId0BAAAAnBPcEPBT2RsAAAAAAAAAAC8M3QAEmDcBLwzd//////9cEgAAId0BAMACSRkAAAAA0p4bdi8MId0Qq+UbGAAAAP////8AAAAAGAAAAAMBAADdCAAAHgAAAS8MId0AAAAAAAAAAAEAAADoxOx0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LBB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6D68-290C-49DA-802B-71A94ACB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10</Pages>
  <Words>2183</Words>
  <Characters>12446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100</cp:revision>
  <cp:lastPrinted>2019-01-14T06:26:00Z</cp:lastPrinted>
  <dcterms:created xsi:type="dcterms:W3CDTF">2022-05-25T08:45:00Z</dcterms:created>
  <dcterms:modified xsi:type="dcterms:W3CDTF">2026-05-08T06:04:00Z</dcterms:modified>
</cp:coreProperties>
</file>